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0" distT="0" distB="0" distL="0" distR="0" simplePos="0" locked="0" layoutInCell="0" allowOverlap="1" relativeHeight="4" wp14:anchorId="58F66E0D">
                <wp:simplePos x="0" y="0"/>
                <wp:positionH relativeFrom="column">
                  <wp:posOffset>361315</wp:posOffset>
                </wp:positionH>
                <wp:positionV relativeFrom="paragraph">
                  <wp:posOffset>-4445</wp:posOffset>
                </wp:positionV>
                <wp:extent cx="5074285" cy="800100"/>
                <wp:effectExtent l="0" t="0" r="0" b="0"/>
                <wp:wrapNone/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840" y="60480"/>
                            <a:ext cx="100836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10520"/>
                            <a:ext cx="94428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28.45pt;margin-top:-0.35pt;width:399.55pt;height:63pt" coordorigin="569,-7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7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2;top:88;width:1587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6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9 – Scheda di Autovalutazione per il profilo di:</w:t>
      </w:r>
    </w:p>
    <w:p>
      <w:pPr>
        <w:pStyle w:val="Normal"/>
        <w:jc w:val="center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t>n° 1 Responsabile internazionalizzazione d’impresa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N° 1 Responsabile internazionalizzazione d’impresa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Laurea magistrale o conseguita secondo il vecchio ordinamento, ad esclusione delle lauree triennali;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Figura professionale con esperienza di almeno 10 anni maturata </w:t>
      </w:r>
      <w:r>
        <w:rPr>
          <w:rFonts w:eastAsia="Times New Roman" w:cs="Calibri" w:cstheme="minorHAnsi"/>
        </w:rPr>
        <w:t>nel campo della gestione di attività di marketing internazionale e internazionalizzazione d’impresa e un’esperienza almeno decennale nel coordinamento di processi di internazionalizzazione di micro e piccole imprese, anche aggregate in partenariati, reti, consorzi e similar</w:t>
      </w:r>
      <w:r>
        <w:rPr>
          <w:rFonts w:cs="Calibri" w:cstheme="minorHAnsi"/>
        </w:rPr>
        <w:t>i.</w:t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40"/>
        <w:gridCol w:w="5444"/>
        <w:gridCol w:w="1554"/>
      </w:tblGrid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1946" w:hRule="atLeast"/>
        </w:trPr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1. Esperienza specifica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a) Esperienza maturata oltre i dieci anni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campo della gestione di attività di marketing internazionale e internazionalizzazione d’impresa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1-9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10-15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20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Cs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en-US" w:eastAsia="en-US" w:bidi="en-US"/>
              </w:rPr>
              <w:t xml:space="preserve">b)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Esperienza maturata oltre i dieci anni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nel coordinamento di processi di internazionalizzazione di micro e piccole imprese, anche aggregate in partenariati, reti, consorzi e similar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1-9 anni</w:t>
              <w:tab/>
              <w:tab/>
              <w:t>Punti 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10-15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Cs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20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40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en-US" w:eastAsia="en-US" w:bidi="en-US"/>
              </w:rPr>
              <w:t xml:space="preserve">2. Progetti in </w:t>
            </w:r>
            <w:r>
              <w:rPr>
                <w:rFonts w:cs="Calibri" w:ascii="Calibri" w:hAnsi="Calibri" w:cstheme="minorHAnsi"/>
                <w:kern w:val="0"/>
                <w:sz w:val="20"/>
                <w:szCs w:val="20"/>
                <w:lang w:val="en-US" w:bidi="en-US"/>
              </w:rPr>
              <w:t>attività di marketing internazionale e internazionalizzazione d’impresa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2 punti per ogni intervento di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attività di marketing internazionale e internazionalizzazione d’impresa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progettato e/o attuato anche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équipe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, fino a un massimo di 10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3. Capacità di lavorare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/ gruppi di lavoro extra-LEADER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 punto per ogni gruppo di lavoro di cui si è fatto parte per la progettazione e l’attuazione di progetti finanziati con normative, programmi e fondi per lo sviluppo locale, fino a un massimo di 4 punti.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In caso di sola attività di progettazione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o di sola attuazione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si assegnano 0,5 punti.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4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en-US"/>
              </w:rPr>
              <w:t>4. Lingue straniere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 2 punti per ogni lingua straniera (livello elementare/base: 0,5 punti; livello intermedio: 1 punto; livello avanzato: 2 punti), fino a un massimo di 6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6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5. Esperienza professionale maturata a beneficio di imprese in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attività di marketing internazionale e internazionalizzazione d’impresa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2 punti per ciascuna esperienza di almeno 12 mesi maturata a beneficio di imprese ricadenti nel comprensorio elorino (territorio dei comuni di Avola, Noto, Pachino, Portopalo di C.P. e Rosolini);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 punto per ciascuna esperienza di almeno 12 mesi maturata a beneficio di imprese al di fuori del comprensorio elorino;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ad un massimo di 10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808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PER TITOLI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1282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campo della gestione di attività di marketing internazionale e internazionalizzazione d’impresa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>
          <w:trHeight w:val="1238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coordinamento di processi di internazionalizzazione di micro e piccole imprese, anche aggregate in partenariati, reti, consorzi e similar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Requisito 1. a) Esperienza specifica - Esperienza maturata oltre dici anni nel campo della gestione di attività di marketing internazionale e internazionalizzazione d’impresa 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____ Anni </w:t>
      </w:r>
      <w:r>
        <w:rPr>
          <w:rFonts w:cs="Calibri" w:ascii="Calibri" w:hAnsi="Calibri" w:cstheme="minorHAnsi"/>
          <w:sz w:val="22"/>
          <w:szCs w:val="22"/>
        </w:rPr>
        <w:t>nel campo della gestione di attività di marketing internazionale e internazionalizzazione d’impresa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a) PUNTI …./20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 b) Esperienza specifica - Esperienza maturata oltre dici anni nel coordinamento di processi di internazionalizzazione di micro e piccole imprese, anche aggregate in partenariati, reti, consorzi e similari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____ Anni </w:t>
      </w:r>
      <w:r>
        <w:rPr>
          <w:rFonts w:cs="Calibri" w:ascii="Calibri" w:hAnsi="Calibri" w:cstheme="minorHAnsi"/>
          <w:sz w:val="22"/>
          <w:szCs w:val="22"/>
        </w:rPr>
        <w:t>nel coordinamento di processi di internazionalizzazione di micro e piccole imprese, anche aggregate in partenariati, reti, consorzi e similari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b) PUNTI …./20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…./40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Requisito 2. Progetti </w:t>
      </w:r>
      <w:bookmarkStart w:id="1" w:name="_Hlk127621577"/>
      <w:r>
        <w:rPr>
          <w:rFonts w:cs="Calibri" w:cstheme="minorHAnsi"/>
          <w:b/>
        </w:rPr>
        <w:t>in attività di marketing internazionale e internazionalizzazione d’impresa</w:t>
      </w:r>
      <w:bookmarkEnd w:id="1"/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progettazioni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  <w:lang w:eastAsia="en-US"/>
        </w:rPr>
        <w:t xml:space="preserve">in </w:t>
      </w:r>
      <w:r>
        <w:rPr>
          <w:rFonts w:cs="Calibri" w:ascii="Calibri" w:hAnsi="Calibri" w:cstheme="minorHAnsi"/>
          <w:sz w:val="22"/>
          <w:szCs w:val="22"/>
        </w:rPr>
        <w:t>attività di marketing internazionale e internazionalizzazione d’impresa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…./10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3. Capacità di lavorare in team / gruppi di lavoro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ind w:left="0" w:right="11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N°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________ interventi di 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progettazione e attuazione in gruppo di lavoro nell’ambito di progetti finanziati con normative, programmi e fondi per lo sviluppo locale.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N° ________ interventi di sola progettazione o sola attuazione in gruppo di lavoro nell’ambito di progetti finanziati con normative, programmi e fondi per lo sviluppo locale.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…./4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4. Lingue straniere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cs="Calibri" w:cstheme="minorHAnsi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6"/>
        <w:gridCol w:w="930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Comprensione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Parlato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4. PUNTI …./6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5. Esperienza professionale maturata a beneficio di imprese in attività di marketing internazionale e internazionalizzazione d’impresa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ind w:left="0" w:right="11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N°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________ esperienze professionali di almeno 12 mesi ciascuna maturate a beneficio di imprese in </w:t>
      </w:r>
      <w:r>
        <w:rPr>
          <w:rFonts w:cs="Calibri" w:ascii="Calibri" w:hAnsi="Calibri" w:cstheme="minorHAnsi"/>
          <w:sz w:val="22"/>
          <w:szCs w:val="22"/>
        </w:rPr>
        <w:t>attività di marketing internazionale e internazionalizzazione d’impresa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comprensorio elorino.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N° ________ esperienze professionali di almeno 12 mesi ciascuna maturate a beneficio di imprese al di fuori del comprensorio elorino.</w:t>
      </w:r>
    </w:p>
    <w:p>
      <w:pPr>
        <w:pStyle w:val="CVSpacer"/>
        <w:jc w:val="right"/>
        <w:rPr>
          <w:rFonts w:cs="Calibri" w:cstheme="minorHAnsi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5. PUNTI …./10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A1/A2</w:t>
      </w:r>
      <w:r>
        <w:rPr>
          <w:rFonts w:cs="Calibri" w:cstheme="minorHAnsi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B1/B2</w:t>
      </w:r>
      <w:r>
        <w:rPr>
          <w:rFonts w:cs="Calibri" w:cstheme="minorHAnsi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C1/C2</w:t>
      </w:r>
      <w:r>
        <w:rPr>
          <w:rFonts w:cs="Calibri" w:cstheme="minorHAnsi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Ascolto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ho nessuna difficoltà a capire qualsiasi lingua parlata, sia dal vivo sia trasmessa, anche se il discorso é tenuto in modo veloce da un madrelingua, purché abbia il tempo di abituarmi all’ accento.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Lettura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Interazione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orale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esprimermi in modo chiaro e articolato su una vasta gamma di argomenti che mi interessano. Riesco a esprimere un’ 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scritta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una breve e semplice cartolina,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66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d1d4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d1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LibreOffice/7.3.7.2$Windows_X86_64 LibreOffice_project/e114eadc50a9ff8d8c8a0567d6da8f454beeb84f</Application>
  <AppVersion>15.0000</AppVersion>
  <Pages>12</Pages>
  <Words>2729</Words>
  <Characters>15444</Characters>
  <CharactersWithSpaces>17965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2023-02-15T12:27:00Z</dcterms:created>
  <dc:creator>faust fiorini</dc:creator>
  <dc:description/>
  <dc:language>fr-FR</dc:language>
  <cp:lastModifiedBy>marco giudice</cp:lastModifiedBy>
  <dcterms:modified xsi:type="dcterms:W3CDTF">2023-02-18T13:12:00Z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